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85C35" w14:textId="525940D0" w:rsidR="00F306EC" w:rsidRDefault="00F306EC" w:rsidP="00F306EC">
      <w:pPr>
        <w:jc w:val="center"/>
        <w:rPr>
          <w:b/>
          <w:bCs/>
          <w:sz w:val="36"/>
          <w:szCs w:val="36"/>
        </w:rPr>
      </w:pPr>
      <w:r w:rsidRPr="00F306EC">
        <w:rPr>
          <w:b/>
          <w:bCs/>
          <w:sz w:val="36"/>
          <w:szCs w:val="36"/>
        </w:rPr>
        <w:t>Supporting Documentation Checklist</w:t>
      </w:r>
    </w:p>
    <w:p w14:paraId="45184B2C" w14:textId="15D8EA29" w:rsidR="000E3FD8" w:rsidRPr="000E3FD8" w:rsidRDefault="00E833B4" w:rsidP="00F306EC">
      <w:pPr>
        <w:jc w:val="center"/>
        <w:rPr>
          <w:b/>
          <w:bCs/>
          <w:sz w:val="24"/>
          <w:szCs w:val="24"/>
        </w:rPr>
      </w:pPr>
      <w:r>
        <w:rPr>
          <w:b/>
          <w:bCs/>
          <w:sz w:val="24"/>
          <w:szCs w:val="24"/>
        </w:rPr>
        <w:br/>
      </w:r>
      <w:r w:rsidR="000E3FD8">
        <w:rPr>
          <w:b/>
          <w:bCs/>
          <w:sz w:val="24"/>
          <w:szCs w:val="24"/>
        </w:rPr>
        <w:t>Please return the following:</w:t>
      </w:r>
    </w:p>
    <w:p w14:paraId="09375684" w14:textId="484B62D5" w:rsidR="006C04DC" w:rsidRPr="006C04DC" w:rsidRDefault="00467C5F" w:rsidP="00F306EC">
      <w:pPr>
        <w:rPr>
          <w:rFonts w:ascii="Arial" w:hAnsi="Arial"/>
          <w:b/>
          <w:bCs/>
          <w:sz w:val="28"/>
          <w:szCs w:val="28"/>
        </w:rPr>
      </w:pPr>
      <w:sdt>
        <w:sdtPr>
          <w:rPr>
            <w:rFonts w:ascii="Arial" w:hAnsi="Arial"/>
          </w:rPr>
          <w:id w:val="-457258719"/>
          <w14:checkbox>
            <w14:checked w14:val="0"/>
            <w14:checkedState w14:val="2612" w14:font="MS Gothic"/>
            <w14:uncheckedState w14:val="2610" w14:font="MS Gothic"/>
          </w14:checkbox>
        </w:sdtPr>
        <w:sdtEndPr/>
        <w:sdtContent>
          <w:r w:rsidR="007347CD">
            <w:rPr>
              <w:rFonts w:ascii="MS Gothic" w:eastAsia="MS Gothic" w:hAnsi="MS Gothic" w:hint="eastAsia"/>
            </w:rPr>
            <w:t>☐</w:t>
          </w:r>
        </w:sdtContent>
      </w:sdt>
      <w:r w:rsidR="006C04DC">
        <w:rPr>
          <w:rFonts w:ascii="Arial" w:hAnsi="Arial"/>
        </w:rPr>
        <w:t xml:space="preserve"> </w:t>
      </w:r>
      <w:r w:rsidR="006C04DC">
        <w:rPr>
          <w:b/>
          <w:bCs/>
          <w:sz w:val="28"/>
          <w:szCs w:val="28"/>
        </w:rPr>
        <w:t>S</w:t>
      </w:r>
      <w:r w:rsidR="006C04DC" w:rsidRPr="006C04DC">
        <w:rPr>
          <w:b/>
          <w:bCs/>
          <w:sz w:val="28"/>
          <w:szCs w:val="28"/>
        </w:rPr>
        <w:t>tatement of need related to economic injury due to COVID-19</w:t>
      </w:r>
    </w:p>
    <w:p w14:paraId="5997869A" w14:textId="4CFBB006" w:rsidR="00F306EC" w:rsidRDefault="00467C5F" w:rsidP="00F306EC">
      <w:pPr>
        <w:rPr>
          <w:b/>
          <w:bCs/>
          <w:sz w:val="28"/>
          <w:szCs w:val="28"/>
        </w:rPr>
      </w:pPr>
      <w:sdt>
        <w:sdtPr>
          <w:rPr>
            <w:rFonts w:ascii="Arial" w:hAnsi="Arial"/>
          </w:rPr>
          <w:id w:val="1942641653"/>
          <w14:checkbox>
            <w14:checked w14:val="0"/>
            <w14:checkedState w14:val="2612" w14:font="MS Gothic"/>
            <w14:uncheckedState w14:val="2610" w14:font="MS Gothic"/>
          </w14:checkbox>
        </w:sdtPr>
        <w:sdtEndPr/>
        <w:sdtContent>
          <w:r w:rsidR="007347CD">
            <w:rPr>
              <w:rFonts w:ascii="MS Gothic" w:eastAsia="MS Gothic" w:hAnsi="MS Gothic" w:hint="eastAsia"/>
            </w:rPr>
            <w:t>☐</w:t>
          </w:r>
        </w:sdtContent>
      </w:sdt>
      <w:r w:rsidR="00F306EC">
        <w:rPr>
          <w:b/>
          <w:bCs/>
          <w:sz w:val="28"/>
          <w:szCs w:val="28"/>
        </w:rPr>
        <w:t xml:space="preserve"> </w:t>
      </w:r>
      <w:r w:rsidR="006C04DC">
        <w:rPr>
          <w:b/>
          <w:bCs/>
          <w:sz w:val="28"/>
          <w:szCs w:val="28"/>
        </w:rPr>
        <w:t>W</w:t>
      </w:r>
      <w:r w:rsidR="00F306EC">
        <w:rPr>
          <w:b/>
          <w:bCs/>
          <w:sz w:val="28"/>
          <w:szCs w:val="28"/>
        </w:rPr>
        <w:t xml:space="preserve">orksheet of eligible expenses from March 1, 2020 </w:t>
      </w:r>
      <w:r w:rsidR="00E833B4">
        <w:rPr>
          <w:b/>
          <w:bCs/>
          <w:sz w:val="28"/>
          <w:szCs w:val="28"/>
        </w:rPr>
        <w:t>to present</w:t>
      </w:r>
      <w:r w:rsidR="000E3FD8">
        <w:rPr>
          <w:b/>
          <w:bCs/>
          <w:sz w:val="28"/>
          <w:szCs w:val="28"/>
        </w:rPr>
        <w:t>**</w:t>
      </w:r>
    </w:p>
    <w:p w14:paraId="72B3B731" w14:textId="38987A56" w:rsidR="006C04DC" w:rsidRDefault="00467C5F" w:rsidP="00F306EC">
      <w:pPr>
        <w:rPr>
          <w:rFonts w:cstheme="minorHAnsi"/>
          <w:b/>
          <w:bCs/>
          <w:sz w:val="28"/>
          <w:szCs w:val="28"/>
        </w:rPr>
      </w:pPr>
      <w:sdt>
        <w:sdtPr>
          <w:rPr>
            <w:rFonts w:ascii="Arial" w:hAnsi="Arial"/>
          </w:rPr>
          <w:id w:val="-1383709178"/>
          <w14:checkbox>
            <w14:checked w14:val="0"/>
            <w14:checkedState w14:val="2612" w14:font="MS Gothic"/>
            <w14:uncheckedState w14:val="2610" w14:font="MS Gothic"/>
          </w14:checkbox>
        </w:sdtPr>
        <w:sdtEndPr/>
        <w:sdtContent>
          <w:r w:rsidR="007347CD">
            <w:rPr>
              <w:rFonts w:ascii="MS Gothic" w:eastAsia="MS Gothic" w:hAnsi="MS Gothic" w:hint="eastAsia"/>
            </w:rPr>
            <w:t>☐</w:t>
          </w:r>
        </w:sdtContent>
      </w:sdt>
      <w:r w:rsidR="006C04DC">
        <w:rPr>
          <w:rFonts w:ascii="Arial" w:hAnsi="Arial"/>
        </w:rPr>
        <w:t xml:space="preserve"> </w:t>
      </w:r>
      <w:r w:rsidR="006C04DC">
        <w:rPr>
          <w:rFonts w:cstheme="minorHAnsi"/>
          <w:b/>
          <w:bCs/>
          <w:sz w:val="28"/>
          <w:szCs w:val="28"/>
        </w:rPr>
        <w:t>Proof of address</w:t>
      </w:r>
    </w:p>
    <w:p w14:paraId="41757CA3" w14:textId="3F9B0195" w:rsidR="000E3FD8" w:rsidRDefault="00467C5F" w:rsidP="00F306EC">
      <w:pPr>
        <w:rPr>
          <w:rFonts w:cstheme="minorHAnsi"/>
          <w:b/>
          <w:bCs/>
          <w:sz w:val="28"/>
          <w:szCs w:val="28"/>
        </w:rPr>
      </w:pPr>
      <w:sdt>
        <w:sdtPr>
          <w:rPr>
            <w:rFonts w:ascii="Arial" w:hAnsi="Arial"/>
          </w:rPr>
          <w:id w:val="-902837360"/>
          <w14:checkbox>
            <w14:checked w14:val="0"/>
            <w14:checkedState w14:val="2612" w14:font="MS Gothic"/>
            <w14:uncheckedState w14:val="2610" w14:font="MS Gothic"/>
          </w14:checkbox>
        </w:sdtPr>
        <w:sdtEndPr/>
        <w:sdtContent>
          <w:r w:rsidR="007347CD">
            <w:rPr>
              <w:rFonts w:ascii="MS Gothic" w:eastAsia="MS Gothic" w:hAnsi="MS Gothic" w:hint="eastAsia"/>
            </w:rPr>
            <w:t>☐</w:t>
          </w:r>
        </w:sdtContent>
      </w:sdt>
      <w:r w:rsidR="000E3FD8">
        <w:rPr>
          <w:rFonts w:ascii="Arial" w:hAnsi="Arial"/>
        </w:rPr>
        <w:t xml:space="preserve"> </w:t>
      </w:r>
      <w:r w:rsidR="000E3FD8">
        <w:rPr>
          <w:rFonts w:cstheme="minorHAnsi"/>
          <w:b/>
          <w:bCs/>
          <w:sz w:val="28"/>
          <w:szCs w:val="28"/>
        </w:rPr>
        <w:t>Copy of receipts where applicable</w:t>
      </w:r>
    </w:p>
    <w:p w14:paraId="2B583A55" w14:textId="54FDC9D6" w:rsidR="000E3FD8" w:rsidRDefault="00467C5F" w:rsidP="000E3FD8">
      <w:pPr>
        <w:rPr>
          <w:b/>
          <w:bCs/>
          <w:sz w:val="28"/>
          <w:szCs w:val="28"/>
        </w:rPr>
      </w:pPr>
      <w:sdt>
        <w:sdtPr>
          <w:rPr>
            <w:rFonts w:ascii="Arial" w:hAnsi="Arial"/>
          </w:rPr>
          <w:id w:val="130523023"/>
          <w14:checkbox>
            <w14:checked w14:val="0"/>
            <w14:checkedState w14:val="2612" w14:font="MS Gothic"/>
            <w14:uncheckedState w14:val="2610" w14:font="MS Gothic"/>
          </w14:checkbox>
        </w:sdtPr>
        <w:sdtEndPr/>
        <w:sdtContent>
          <w:r w:rsidR="007347CD">
            <w:rPr>
              <w:rFonts w:ascii="MS Gothic" w:eastAsia="MS Gothic" w:hAnsi="MS Gothic" w:hint="eastAsia"/>
            </w:rPr>
            <w:t>☐</w:t>
          </w:r>
        </w:sdtContent>
      </w:sdt>
      <w:r w:rsidR="000E3FD8">
        <w:rPr>
          <w:rFonts w:ascii="Arial" w:hAnsi="Arial"/>
        </w:rPr>
        <w:t xml:space="preserve"> </w:t>
      </w:r>
      <w:r w:rsidR="000E3FD8" w:rsidRPr="000E3FD8">
        <w:rPr>
          <w:rFonts w:ascii="Arial" w:hAnsi="Arial"/>
          <w:b/>
          <w:bCs/>
        </w:rPr>
        <w:t>W</w:t>
      </w:r>
      <w:r w:rsidR="000E3FD8">
        <w:rPr>
          <w:b/>
          <w:bCs/>
          <w:sz w:val="28"/>
          <w:szCs w:val="28"/>
        </w:rPr>
        <w:t>ritten statement for the following:</w:t>
      </w:r>
    </w:p>
    <w:p w14:paraId="72C29EE6" w14:textId="6BF4256D" w:rsidR="000E3FD8" w:rsidRPr="000E3FD8" w:rsidRDefault="000E3FD8" w:rsidP="000E3FD8">
      <w:pPr>
        <w:pStyle w:val="Default"/>
        <w:numPr>
          <w:ilvl w:val="0"/>
          <w:numId w:val="2"/>
        </w:numPr>
        <w:rPr>
          <w:sz w:val="20"/>
          <w:szCs w:val="20"/>
        </w:rPr>
      </w:pPr>
      <w:r w:rsidRPr="000E3FD8">
        <w:rPr>
          <w:sz w:val="20"/>
          <w:szCs w:val="20"/>
        </w:rPr>
        <w:t xml:space="preserve">decrease in the number full-time direct care staff due to COVID-19 in all of applicant’s sites from March 1, 2020 to present; </w:t>
      </w:r>
      <w:r w:rsidRPr="000E3FD8">
        <w:rPr>
          <w:b/>
          <w:bCs/>
          <w:sz w:val="20"/>
          <w:szCs w:val="20"/>
        </w:rPr>
        <w:t>or</w:t>
      </w:r>
    </w:p>
    <w:p w14:paraId="2F56DD75" w14:textId="4A2AEDDD" w:rsidR="000E3FD8" w:rsidRPr="000E3FD8" w:rsidRDefault="000E3FD8" w:rsidP="000E3FD8">
      <w:pPr>
        <w:pStyle w:val="ListParagraph"/>
        <w:numPr>
          <w:ilvl w:val="0"/>
          <w:numId w:val="2"/>
        </w:numPr>
        <w:rPr>
          <w:rFonts w:ascii="Calibri" w:hAnsi="Calibri"/>
          <w:color w:val="000000"/>
          <w:sz w:val="20"/>
          <w:szCs w:val="20"/>
        </w:rPr>
      </w:pPr>
      <w:r w:rsidRPr="000E3FD8">
        <w:rPr>
          <w:rFonts w:ascii="Calibri" w:hAnsi="Calibri"/>
          <w:color w:val="000000"/>
          <w:sz w:val="20"/>
          <w:szCs w:val="20"/>
        </w:rPr>
        <w:t>decrease in number of children enrolled due to COVID-19 from March 1, 2020 to present</w:t>
      </w:r>
    </w:p>
    <w:p w14:paraId="327AADBE" w14:textId="4C99FA7A" w:rsidR="000E3FD8" w:rsidRPr="000E3FD8" w:rsidRDefault="000E3FD8" w:rsidP="000E3FD8">
      <w:pPr>
        <w:pStyle w:val="Default"/>
        <w:numPr>
          <w:ilvl w:val="0"/>
          <w:numId w:val="2"/>
        </w:numPr>
        <w:rPr>
          <w:sz w:val="20"/>
          <w:szCs w:val="20"/>
        </w:rPr>
      </w:pPr>
      <w:r w:rsidRPr="000E3FD8">
        <w:rPr>
          <w:sz w:val="20"/>
          <w:szCs w:val="20"/>
        </w:rPr>
        <w:t>Meet or exceed the City of Austin Mayor’s recommended COVID-19 safety guidelines (or demonstrate appointment with Austin Public Health to implement guidelines)</w:t>
      </w:r>
    </w:p>
    <w:p w14:paraId="09F57A29" w14:textId="77777777" w:rsidR="000E3FD8" w:rsidRPr="00B736D5" w:rsidRDefault="000E3FD8" w:rsidP="00F306EC">
      <w:pPr>
        <w:rPr>
          <w:rFonts w:cstheme="minorHAnsi"/>
          <w:sz w:val="20"/>
          <w:szCs w:val="20"/>
        </w:rPr>
      </w:pPr>
    </w:p>
    <w:p w14:paraId="5B858F27" w14:textId="7B00CA26" w:rsidR="00F306EC" w:rsidRPr="000E3FD8" w:rsidRDefault="000E3FD8" w:rsidP="00F306EC">
      <w:pPr>
        <w:pStyle w:val="Default"/>
        <w:rPr>
          <w:sz w:val="20"/>
          <w:szCs w:val="20"/>
        </w:rPr>
      </w:pPr>
      <w:r w:rsidRPr="000E3FD8">
        <w:rPr>
          <w:b/>
          <w:bCs/>
          <w:sz w:val="20"/>
          <w:szCs w:val="20"/>
        </w:rPr>
        <w:t>**</w:t>
      </w:r>
      <w:r w:rsidR="00F306EC" w:rsidRPr="000E3FD8">
        <w:rPr>
          <w:sz w:val="20"/>
          <w:szCs w:val="20"/>
        </w:rPr>
        <w:t xml:space="preserve">Providers may only use the Stabilization Grant award for purposes related to COVID-19 as listed below. </w:t>
      </w:r>
      <w:r w:rsidR="00F306EC" w:rsidRPr="000E3FD8">
        <w:rPr>
          <w:b/>
          <w:bCs/>
          <w:sz w:val="20"/>
          <w:szCs w:val="20"/>
        </w:rPr>
        <w:t>“Eligible Expenditures”</w:t>
      </w:r>
      <w:r w:rsidR="00F306EC" w:rsidRPr="000E3FD8">
        <w:rPr>
          <w:sz w:val="20"/>
          <w:szCs w:val="20"/>
        </w:rPr>
        <w:t xml:space="preserve"> means necessary expenditures incurred on or after March 1, 2020 and on or before December 30, 2020 due to the declared disaster caused by public health emergency caused by the coronavirus pandemic that meet the following criteria: </w:t>
      </w:r>
    </w:p>
    <w:p w14:paraId="2DD1A9F4" w14:textId="22A2A53B" w:rsidR="00F306EC" w:rsidRPr="000E3FD8" w:rsidRDefault="00F306EC" w:rsidP="00ED1B98">
      <w:pPr>
        <w:pStyle w:val="Default"/>
        <w:numPr>
          <w:ilvl w:val="0"/>
          <w:numId w:val="4"/>
        </w:numPr>
        <w:spacing w:after="30"/>
        <w:rPr>
          <w:sz w:val="20"/>
          <w:szCs w:val="20"/>
        </w:rPr>
      </w:pPr>
      <w:r w:rsidRPr="000E3FD8">
        <w:rPr>
          <w:sz w:val="20"/>
          <w:szCs w:val="20"/>
        </w:rPr>
        <w:t>Rent, lease, or mortgage payment for real property used for the Provider’s business purposes, like office and childcare sites</w:t>
      </w:r>
    </w:p>
    <w:p w14:paraId="5F71C6DC" w14:textId="7190615F" w:rsidR="00F306EC" w:rsidRPr="000E3FD8" w:rsidRDefault="00F306EC" w:rsidP="00ED1B98">
      <w:pPr>
        <w:pStyle w:val="Default"/>
        <w:numPr>
          <w:ilvl w:val="0"/>
          <w:numId w:val="4"/>
        </w:numPr>
        <w:spacing w:after="30"/>
        <w:rPr>
          <w:sz w:val="20"/>
          <w:szCs w:val="20"/>
        </w:rPr>
      </w:pPr>
      <w:r w:rsidRPr="000E3FD8">
        <w:rPr>
          <w:sz w:val="20"/>
          <w:szCs w:val="20"/>
        </w:rPr>
        <w:t xml:space="preserve">Utility payments for the Provider’s business properties; </w:t>
      </w:r>
    </w:p>
    <w:p w14:paraId="2AE6E23B" w14:textId="773045C2" w:rsidR="00F306EC" w:rsidRPr="000E3FD8" w:rsidRDefault="00F306EC" w:rsidP="00ED1B98">
      <w:pPr>
        <w:pStyle w:val="Default"/>
        <w:numPr>
          <w:ilvl w:val="0"/>
          <w:numId w:val="4"/>
        </w:numPr>
        <w:spacing w:after="30"/>
        <w:rPr>
          <w:sz w:val="20"/>
          <w:szCs w:val="20"/>
        </w:rPr>
      </w:pPr>
      <w:r w:rsidRPr="000E3FD8">
        <w:rPr>
          <w:sz w:val="20"/>
          <w:szCs w:val="20"/>
        </w:rPr>
        <w:t xml:space="preserve">General liability insurance and property insurance for the facility; </w:t>
      </w:r>
    </w:p>
    <w:p w14:paraId="7681B205" w14:textId="6B236CCA" w:rsidR="00F306EC" w:rsidRPr="000E3FD8" w:rsidRDefault="00F306EC" w:rsidP="00ED1B98">
      <w:pPr>
        <w:pStyle w:val="Default"/>
        <w:numPr>
          <w:ilvl w:val="0"/>
          <w:numId w:val="4"/>
        </w:numPr>
        <w:spacing w:after="30"/>
        <w:rPr>
          <w:b/>
          <w:bCs/>
          <w:sz w:val="20"/>
          <w:szCs w:val="20"/>
        </w:rPr>
      </w:pPr>
      <w:r w:rsidRPr="000E3FD8">
        <w:rPr>
          <w:sz w:val="20"/>
          <w:szCs w:val="20"/>
        </w:rPr>
        <w:t xml:space="preserve">Rent, lease, or purchase payment for the Provider’s business property (e.g., delivery vehicle; food truck; kitchen equipment; technology, payment, and communications systems and equipment); </w:t>
      </w:r>
    </w:p>
    <w:p w14:paraId="689759AF" w14:textId="2C97BEA2" w:rsidR="00F306EC" w:rsidRPr="000E3FD8" w:rsidRDefault="00F306EC" w:rsidP="00ED1B98">
      <w:pPr>
        <w:pStyle w:val="Default"/>
        <w:numPr>
          <w:ilvl w:val="0"/>
          <w:numId w:val="4"/>
        </w:numPr>
        <w:spacing w:after="30"/>
        <w:rPr>
          <w:sz w:val="20"/>
          <w:szCs w:val="20"/>
        </w:rPr>
      </w:pPr>
      <w:r w:rsidRPr="000E3FD8">
        <w:rPr>
          <w:sz w:val="20"/>
          <w:szCs w:val="20"/>
        </w:rPr>
        <w:t xml:space="preserve">Payments to suppliers and vendors, including sales taxes due for merchandise or service purchased. Examples include COVID-related marketing, security systems, lawn maintenance, pest management; </w:t>
      </w:r>
    </w:p>
    <w:p w14:paraId="11586FC2" w14:textId="6857FC8D" w:rsidR="00F306EC" w:rsidRPr="000E3FD8" w:rsidRDefault="00F306EC" w:rsidP="00ED1B98">
      <w:pPr>
        <w:pStyle w:val="Default"/>
        <w:numPr>
          <w:ilvl w:val="0"/>
          <w:numId w:val="4"/>
        </w:numPr>
        <w:spacing w:after="30"/>
        <w:rPr>
          <w:sz w:val="20"/>
          <w:szCs w:val="20"/>
        </w:rPr>
      </w:pPr>
      <w:r w:rsidRPr="000E3FD8">
        <w:rPr>
          <w:sz w:val="20"/>
          <w:szCs w:val="20"/>
        </w:rPr>
        <w:t>Payment for tools and technology applications to the Provider to allow them to conduct business virtually, such as Wi</w:t>
      </w:r>
      <w:r w:rsidR="00E833B4">
        <w:rPr>
          <w:sz w:val="20"/>
          <w:szCs w:val="20"/>
        </w:rPr>
        <w:t>-</w:t>
      </w:r>
      <w:r w:rsidRPr="000E3FD8">
        <w:rPr>
          <w:sz w:val="20"/>
          <w:szCs w:val="20"/>
        </w:rPr>
        <w:t xml:space="preserve">Fi services, contactless payments, virtual tours for prospective parents, and virtual staff trainings; </w:t>
      </w:r>
    </w:p>
    <w:p w14:paraId="08C42F82" w14:textId="192497E1" w:rsidR="00F306EC" w:rsidRPr="000E3FD8" w:rsidRDefault="00F306EC" w:rsidP="00ED1B98">
      <w:pPr>
        <w:pStyle w:val="Default"/>
        <w:numPr>
          <w:ilvl w:val="0"/>
          <w:numId w:val="4"/>
        </w:numPr>
        <w:spacing w:after="30"/>
        <w:rPr>
          <w:sz w:val="20"/>
          <w:szCs w:val="20"/>
        </w:rPr>
      </w:pPr>
      <w:r w:rsidRPr="000E3FD8">
        <w:rPr>
          <w:sz w:val="20"/>
          <w:szCs w:val="20"/>
        </w:rPr>
        <w:t>Personal Protective Equipment (PPE), COVID-related signage, sanitation supplies, and equipment for the Provider, testing for the Provider’s employees;</w:t>
      </w:r>
    </w:p>
    <w:p w14:paraId="695F5362" w14:textId="104CC741" w:rsidR="00F306EC" w:rsidRPr="000E3FD8" w:rsidRDefault="00F306EC" w:rsidP="00ED1B98">
      <w:pPr>
        <w:pStyle w:val="Default"/>
        <w:numPr>
          <w:ilvl w:val="0"/>
          <w:numId w:val="4"/>
        </w:numPr>
        <w:spacing w:after="30"/>
        <w:rPr>
          <w:sz w:val="20"/>
          <w:szCs w:val="20"/>
        </w:rPr>
      </w:pPr>
      <w:r w:rsidRPr="000E3FD8">
        <w:rPr>
          <w:sz w:val="20"/>
          <w:szCs w:val="20"/>
        </w:rPr>
        <w:t>The Provider’s eligible taxes and fees (specifics to be identified in the invoicing materials); and</w:t>
      </w:r>
    </w:p>
    <w:p w14:paraId="090EC98C" w14:textId="110D01A3" w:rsidR="00F306EC" w:rsidRPr="000E3FD8" w:rsidRDefault="00F306EC" w:rsidP="00ED1B98">
      <w:pPr>
        <w:pStyle w:val="Default"/>
        <w:numPr>
          <w:ilvl w:val="0"/>
          <w:numId w:val="4"/>
        </w:numPr>
        <w:spacing w:after="30"/>
        <w:rPr>
          <w:sz w:val="20"/>
          <w:szCs w:val="20"/>
        </w:rPr>
      </w:pPr>
      <w:r w:rsidRPr="000E3FD8">
        <w:rPr>
          <w:sz w:val="20"/>
          <w:szCs w:val="20"/>
        </w:rPr>
        <w:t xml:space="preserve">The Provider’s payroll expenses. </w:t>
      </w:r>
    </w:p>
    <w:p w14:paraId="7592D754" w14:textId="6C84B771" w:rsidR="00ED1B98" w:rsidRPr="00B736D5" w:rsidRDefault="00F306EC" w:rsidP="001E101C">
      <w:pPr>
        <w:pStyle w:val="Default"/>
        <w:numPr>
          <w:ilvl w:val="0"/>
          <w:numId w:val="4"/>
        </w:numPr>
        <w:rPr>
          <w:b/>
          <w:bCs/>
          <w:sz w:val="20"/>
          <w:szCs w:val="20"/>
        </w:rPr>
      </w:pPr>
      <w:r w:rsidRPr="00B736D5">
        <w:rPr>
          <w:b/>
          <w:bCs/>
          <w:sz w:val="20"/>
          <w:szCs w:val="20"/>
        </w:rPr>
        <w:t>None of Provider’s expenses can be covered by another grant or federal funding program.</w:t>
      </w:r>
    </w:p>
    <w:p w14:paraId="3BCAF599" w14:textId="77777777" w:rsidR="00B736D5" w:rsidRDefault="00B736D5" w:rsidP="0089571B">
      <w:pPr>
        <w:pStyle w:val="Default"/>
        <w:rPr>
          <w:b/>
          <w:bCs/>
          <w:i/>
          <w:iCs/>
          <w:sz w:val="20"/>
          <w:szCs w:val="20"/>
        </w:rPr>
      </w:pPr>
    </w:p>
    <w:p w14:paraId="6CAA6A96" w14:textId="5E093BA4" w:rsidR="0089571B" w:rsidRPr="00E833B4" w:rsidRDefault="0089571B" w:rsidP="0089571B">
      <w:pPr>
        <w:pStyle w:val="Default"/>
        <w:rPr>
          <w:b/>
          <w:bCs/>
          <w:i/>
          <w:iCs/>
          <w:sz w:val="28"/>
          <w:szCs w:val="28"/>
          <w:vertAlign w:val="subscript"/>
        </w:rPr>
      </w:pPr>
      <w:r>
        <w:rPr>
          <w:b/>
          <w:bCs/>
          <w:i/>
          <w:iCs/>
          <w:sz w:val="20"/>
          <w:szCs w:val="20"/>
        </w:rPr>
        <w:t>Please note that if the provider is approved and accepts the grant</w:t>
      </w:r>
      <w:r w:rsidR="00467C5F">
        <w:rPr>
          <w:b/>
          <w:bCs/>
          <w:i/>
          <w:iCs/>
          <w:sz w:val="20"/>
          <w:szCs w:val="20"/>
        </w:rPr>
        <w:t>,</w:t>
      </w:r>
      <w:bookmarkStart w:id="0" w:name="_GoBack"/>
      <w:bookmarkEnd w:id="0"/>
      <w:r>
        <w:rPr>
          <w:b/>
          <w:bCs/>
          <w:i/>
          <w:iCs/>
          <w:sz w:val="20"/>
          <w:szCs w:val="20"/>
        </w:rPr>
        <w:t xml:space="preserve"> the provider will be responsible for any applicable taxes</w:t>
      </w:r>
      <w:r w:rsidR="00D87603">
        <w:rPr>
          <w:b/>
          <w:bCs/>
          <w:i/>
          <w:iCs/>
          <w:sz w:val="20"/>
          <w:szCs w:val="20"/>
        </w:rPr>
        <w:t>.</w:t>
      </w:r>
    </w:p>
    <w:sectPr w:rsidR="0089571B" w:rsidRPr="00E833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0C41" w14:textId="77777777" w:rsidR="004112C0" w:rsidRDefault="004112C0" w:rsidP="00F306EC">
      <w:pPr>
        <w:spacing w:after="0" w:line="240" w:lineRule="auto"/>
      </w:pPr>
      <w:r>
        <w:separator/>
      </w:r>
    </w:p>
  </w:endnote>
  <w:endnote w:type="continuationSeparator" w:id="0">
    <w:p w14:paraId="1A5E1658" w14:textId="77777777" w:rsidR="004112C0" w:rsidRDefault="004112C0" w:rsidP="00F3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9BCC" w14:textId="0B9EFF4F" w:rsidR="00E833B4" w:rsidRPr="00E833B4" w:rsidRDefault="00E833B4" w:rsidP="00E833B4">
    <w:pPr>
      <w:pStyle w:val="Footer"/>
      <w:jc w:val="center"/>
      <w:rPr>
        <w:sz w:val="20"/>
        <w:szCs w:val="20"/>
      </w:rPr>
    </w:pPr>
    <w:r w:rsidRPr="00E833B4">
      <w:rPr>
        <w:sz w:val="20"/>
        <w:szCs w:val="20"/>
      </w:rPr>
      <w:t>Workforce Solutions Capital Area is an Equal Opportunity Employer/Program.</w:t>
    </w:r>
    <w:r>
      <w:rPr>
        <w:sz w:val="20"/>
        <w:szCs w:val="20"/>
      </w:rPr>
      <w:br/>
    </w:r>
    <w:r w:rsidRPr="00E833B4">
      <w:rPr>
        <w:sz w:val="20"/>
        <w:szCs w:val="20"/>
      </w:rPr>
      <w:t>Auxiliary aids and services are available, upon request, to persons with disabilities.</w:t>
    </w:r>
    <w:r>
      <w:rPr>
        <w:sz w:val="20"/>
        <w:szCs w:val="20"/>
      </w:rPr>
      <w:br/>
    </w:r>
    <w:r w:rsidRPr="00E833B4">
      <w:rPr>
        <w:sz w:val="20"/>
        <w:szCs w:val="20"/>
      </w:rPr>
      <w:t>Relay Texas: 1.800.735.2989 (TDD) / 711 (Voice)</w:t>
    </w:r>
    <w:r>
      <w:rPr>
        <w:sz w:val="20"/>
        <w:szCs w:val="20"/>
      </w:rPr>
      <w:t xml:space="preserve"> </w:t>
    </w:r>
    <w:r w:rsidRPr="00E833B4">
      <w:rPr>
        <w:sz w:val="20"/>
        <w:szCs w:val="20"/>
      </w:rPr>
      <w:t>www.wfscapitalarea.com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BCBD" w14:textId="77777777" w:rsidR="004112C0" w:rsidRDefault="004112C0" w:rsidP="00F306EC">
      <w:pPr>
        <w:spacing w:after="0" w:line="240" w:lineRule="auto"/>
      </w:pPr>
      <w:r>
        <w:separator/>
      </w:r>
    </w:p>
  </w:footnote>
  <w:footnote w:type="continuationSeparator" w:id="0">
    <w:p w14:paraId="3A881BAE" w14:textId="77777777" w:rsidR="004112C0" w:rsidRDefault="004112C0" w:rsidP="00F30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BCB8" w14:textId="185D20DF" w:rsidR="00F306EC" w:rsidRDefault="00F306EC">
    <w:pPr>
      <w:pStyle w:val="Header"/>
    </w:pPr>
    <w:r>
      <w:t xml:space="preserve">                                                 </w:t>
    </w:r>
    <w:r w:rsidRPr="00F306EC">
      <w:rPr>
        <w:noProof/>
      </w:rPr>
      <w:drawing>
        <wp:inline distT="0" distB="0" distL="0" distR="0" wp14:anchorId="33B4F1CB" wp14:editId="15E3AACC">
          <wp:extent cx="2916555"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16555" cy="972185"/>
                  </a:xfrm>
                  <a:prstGeom prst="rect">
                    <a:avLst/>
                  </a:prstGeom>
                  <a:noFill/>
                  <a:ln>
                    <a:noFill/>
                  </a:ln>
                </pic:spPr>
              </pic:pic>
            </a:graphicData>
          </a:graphic>
        </wp:inline>
      </w:drawing>
    </w:r>
  </w:p>
  <w:p w14:paraId="47C2C3A8" w14:textId="77777777" w:rsidR="00E833B4" w:rsidRDefault="00E8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4031"/>
    <w:multiLevelType w:val="hybridMultilevel"/>
    <w:tmpl w:val="760870D8"/>
    <w:lvl w:ilvl="0" w:tplc="235CE5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684BA4"/>
    <w:multiLevelType w:val="hybridMultilevel"/>
    <w:tmpl w:val="27EE25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C9F2CC8"/>
    <w:multiLevelType w:val="hybridMultilevel"/>
    <w:tmpl w:val="004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93940"/>
    <w:multiLevelType w:val="hybridMultilevel"/>
    <w:tmpl w:val="F500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EC"/>
    <w:rsid w:val="000E3FD8"/>
    <w:rsid w:val="004112C0"/>
    <w:rsid w:val="00467C5F"/>
    <w:rsid w:val="00507B28"/>
    <w:rsid w:val="006C04DC"/>
    <w:rsid w:val="007347CD"/>
    <w:rsid w:val="0089571B"/>
    <w:rsid w:val="00B2528C"/>
    <w:rsid w:val="00B509C1"/>
    <w:rsid w:val="00B736D5"/>
    <w:rsid w:val="00D87603"/>
    <w:rsid w:val="00E833B4"/>
    <w:rsid w:val="00ED1B98"/>
    <w:rsid w:val="00F3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05351"/>
  <w15:chartTrackingRefBased/>
  <w15:docId w15:val="{7110CE7C-3E34-4B8E-A805-EBB2758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6EC"/>
  </w:style>
  <w:style w:type="paragraph" w:styleId="Footer">
    <w:name w:val="footer"/>
    <w:basedOn w:val="Normal"/>
    <w:link w:val="FooterChar"/>
    <w:uiPriority w:val="99"/>
    <w:unhideWhenUsed/>
    <w:rsid w:val="00F30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6EC"/>
  </w:style>
  <w:style w:type="paragraph" w:customStyle="1" w:styleId="Default">
    <w:name w:val="Default"/>
    <w:rsid w:val="00F306E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D1B98"/>
    <w:pPr>
      <w:ind w:left="720"/>
      <w:contextualSpacing/>
    </w:pPr>
  </w:style>
  <w:style w:type="character" w:styleId="Hyperlink">
    <w:name w:val="Hyperlink"/>
    <w:basedOn w:val="DefaultParagraphFont"/>
    <w:uiPriority w:val="99"/>
    <w:unhideWhenUsed/>
    <w:rsid w:val="00ED1B98"/>
    <w:rPr>
      <w:color w:val="0563C1" w:themeColor="hyperlink"/>
      <w:u w:val="single"/>
    </w:rPr>
  </w:style>
  <w:style w:type="character" w:styleId="UnresolvedMention">
    <w:name w:val="Unresolved Mention"/>
    <w:basedOn w:val="DefaultParagraphFont"/>
    <w:uiPriority w:val="99"/>
    <w:semiHidden/>
    <w:unhideWhenUsed/>
    <w:rsid w:val="00ED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Erin E</dc:creator>
  <cp:keywords/>
  <dc:description/>
  <cp:lastModifiedBy>Olson, David</cp:lastModifiedBy>
  <cp:revision>2</cp:revision>
  <dcterms:created xsi:type="dcterms:W3CDTF">2020-11-17T15:51:00Z</dcterms:created>
  <dcterms:modified xsi:type="dcterms:W3CDTF">2020-11-17T15:51:00Z</dcterms:modified>
</cp:coreProperties>
</file>